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12" w:afterLines="100"/>
        <w:jc w:val="center"/>
        <w:rPr>
          <w:rFonts w:ascii="方正小标宋简体" w:hAnsi="黑体" w:eastAsia="方正小标宋简体"/>
          <w:sz w:val="36"/>
          <w:szCs w:val="36"/>
        </w:rPr>
      </w:pPr>
      <w:r>
        <w:rPr>
          <w:rFonts w:hint="eastAsia" w:ascii="方正小标宋简体" w:hAnsi="黑体" w:eastAsia="方正小标宋简体" w:cs="方正小标宋简体"/>
          <w:sz w:val="36"/>
          <w:szCs w:val="36"/>
        </w:rPr>
        <w:t>中南林业科技大学涉外学院</w:t>
      </w: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年“专升本”</w:t>
      </w:r>
    </w:p>
    <w:p>
      <w:pPr>
        <w:widowControl/>
        <w:shd w:val="clear" w:color="auto" w:fill="FFFFFF"/>
        <w:spacing w:after="312" w:afterLines="100"/>
        <w:jc w:val="center"/>
        <w:rPr>
          <w:rFonts w:ascii="方正小标宋简体" w:hAnsi="黑体" w:eastAsia="方正小标宋简体"/>
          <w:sz w:val="36"/>
          <w:szCs w:val="36"/>
        </w:rPr>
      </w:pPr>
      <w:r>
        <w:rPr>
          <w:rFonts w:hint="eastAsia" w:ascii="方正小标宋简体" w:hAnsi="黑体" w:eastAsia="方正小标宋简体" w:cs="方正小标宋简体"/>
          <w:sz w:val="36"/>
          <w:szCs w:val="36"/>
        </w:rPr>
        <w:t>《电路分析基础》课程考试大纲</w:t>
      </w:r>
    </w:p>
    <w:p>
      <w:pPr>
        <w:pStyle w:val="8"/>
        <w:widowControl/>
        <w:numPr>
          <w:ilvl w:val="0"/>
          <w:numId w:val="1"/>
        </w:numPr>
        <w:shd w:val="clear" w:color="auto" w:fill="FFFFFF"/>
        <w:spacing w:line="360" w:lineRule="auto"/>
        <w:ind w:firstLineChars="0"/>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考试基本要求</w:t>
      </w:r>
    </w:p>
    <w:p>
      <w:pPr>
        <w:widowControl/>
        <w:shd w:val="clear" w:color="auto" w:fill="FFFFFF"/>
        <w:adjustRightInd w:val="0"/>
        <w:snapToGrid w:val="0"/>
        <w:spacing w:line="56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本考试是为电子信息工程专业招收 “专升本”学生而实施的选拔性考试。其基本指导思想是既要有利于国家对高层次人才的选拔，又要有利于</w:t>
      </w:r>
      <w:bookmarkStart w:id="1" w:name="_GoBack"/>
      <w:bookmarkEnd w:id="1"/>
      <w:r>
        <w:rPr>
          <w:rFonts w:hint="eastAsia" w:ascii="仿宋_GB2312" w:hAnsi="宋体" w:eastAsia="仿宋_GB2312"/>
          <w:color w:val="000000"/>
          <w:kern w:val="0"/>
          <w:sz w:val="24"/>
          <w:szCs w:val="24"/>
        </w:rPr>
        <w:t>促进高等学校专业课程教学质量的提高，考试对象为202</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年参加“专升本”考试的考生。</w:t>
      </w:r>
    </w:p>
    <w:p>
      <w:pPr>
        <w:widowControl/>
        <w:shd w:val="clear" w:color="auto" w:fill="FFFFFF"/>
        <w:adjustRightInd w:val="0"/>
        <w:snapToGrid w:val="0"/>
        <w:spacing w:line="56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路分析基础》是电子信息工程专业一门十分重要的必修专业基础课。设置和学习本课程的目的是使学生掌握电路的基本理论、分析计算电路的基本方法和进行实验的初步技能，为学习后续课程学习和将来从事专业技术工作奠定较扎实的基础。</w:t>
      </w: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二、考试方式、时间、题型及比例</w:t>
      </w:r>
    </w:p>
    <w:p>
      <w:pPr>
        <w:widowControl/>
        <w:shd w:val="clear" w:color="auto" w:fill="FFFFFF"/>
        <w:adjustRightInd w:val="0"/>
        <w:snapToGrid w:val="0"/>
        <w:spacing w:line="560" w:lineRule="exact"/>
        <w:ind w:firstLine="480" w:firstLineChars="200"/>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．考试方式：闭卷笔试</w:t>
      </w:r>
    </w:p>
    <w:p>
      <w:pPr>
        <w:spacing w:line="560" w:lineRule="atLeast"/>
        <w:ind w:firstLine="480" w:firstLineChars="200"/>
        <w:rPr>
          <w:rFonts w:ascii="仿宋" w:hAnsi="仿宋" w:eastAsia="仿宋" w:cs="仿宋"/>
          <w:sz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．考试时间：</w:t>
      </w:r>
      <w:r>
        <w:rPr>
          <w:rFonts w:hint="eastAsia" w:ascii="仿宋_GB2312" w:hAnsi="宋体" w:eastAsia="仿宋_GB2312"/>
          <w:color w:val="000000"/>
          <w:kern w:val="0"/>
          <w:sz w:val="24"/>
          <w:szCs w:val="24"/>
          <w:lang w:val="en-US" w:eastAsia="zh-CN"/>
        </w:rPr>
        <w:t>150</w:t>
      </w:r>
      <w:r>
        <w:rPr>
          <w:rFonts w:hint="eastAsia" w:ascii="仿宋_GB2312" w:hAnsi="宋体" w:eastAsia="仿宋_GB2312"/>
          <w:color w:val="000000"/>
          <w:kern w:val="0"/>
          <w:sz w:val="24"/>
          <w:szCs w:val="24"/>
        </w:rPr>
        <w:t>分钟</w:t>
      </w:r>
    </w:p>
    <w:p>
      <w:pPr>
        <w:widowControl/>
        <w:shd w:val="clear" w:color="auto" w:fill="FFFFFF"/>
        <w:adjustRightInd w:val="0"/>
        <w:snapToGrid w:val="0"/>
        <w:spacing w:line="560" w:lineRule="exact"/>
        <w:ind w:firstLine="480" w:firstLineChars="200"/>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．题型比例：</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总分值为</w:t>
      </w:r>
      <w:r>
        <w:rPr>
          <w:rFonts w:hint="eastAsia" w:ascii="仿宋_GB2312" w:hAnsi="宋体" w:eastAsia="仿宋_GB2312"/>
          <w:color w:val="000000"/>
          <w:kern w:val="0"/>
          <w:sz w:val="24"/>
          <w:szCs w:val="24"/>
          <w:lang w:val="en-US" w:eastAsia="zh-CN"/>
        </w:rPr>
        <w:t>2</w:t>
      </w:r>
      <w:r>
        <w:rPr>
          <w:rFonts w:hint="eastAsia" w:ascii="仿宋_GB2312" w:hAnsi="宋体" w:eastAsia="仿宋_GB2312"/>
          <w:color w:val="000000"/>
          <w:kern w:val="0"/>
          <w:sz w:val="24"/>
          <w:szCs w:val="24"/>
        </w:rPr>
        <w:t>00分。</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考试题型主要为：单项选择题（约2</w:t>
      </w: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）、填空题（约2</w:t>
      </w:r>
      <w:r>
        <w:rPr>
          <w:rFonts w:ascii="仿宋_GB2312" w:hAnsi="宋体" w:eastAsia="仿宋_GB2312"/>
          <w:color w:val="000000"/>
          <w:kern w:val="0"/>
          <w:sz w:val="24"/>
          <w:szCs w:val="24"/>
        </w:rPr>
        <w:t>0%</w:t>
      </w:r>
      <w:r>
        <w:rPr>
          <w:rFonts w:hint="eastAsia" w:ascii="仿宋_GB2312" w:hAnsi="宋体" w:eastAsia="仿宋_GB2312"/>
          <w:color w:val="000000"/>
          <w:kern w:val="0"/>
          <w:sz w:val="24"/>
          <w:szCs w:val="24"/>
        </w:rPr>
        <w:t>）、判断题（约1</w:t>
      </w:r>
      <w:r>
        <w:rPr>
          <w:rFonts w:ascii="仿宋_GB2312" w:hAnsi="宋体" w:eastAsia="仿宋_GB2312"/>
          <w:color w:val="000000"/>
          <w:kern w:val="0"/>
          <w:sz w:val="24"/>
          <w:szCs w:val="24"/>
        </w:rPr>
        <w:t>0%</w:t>
      </w:r>
      <w:r>
        <w:rPr>
          <w:rFonts w:hint="eastAsia" w:ascii="仿宋_GB2312" w:hAnsi="宋体" w:eastAsia="仿宋_GB2312"/>
          <w:color w:val="000000"/>
          <w:kern w:val="0"/>
          <w:sz w:val="24"/>
          <w:szCs w:val="24"/>
        </w:rPr>
        <w:t>）、综合计算题（约4</w:t>
      </w: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试卷难易比例：易、中、难分别为40%、40%和 20%。</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考试试卷内容将覆盖8章内容，大致比例如下：</w:t>
      </w:r>
    </w:p>
    <w:p>
      <w:pPr>
        <w:widowControl/>
        <w:shd w:val="clear" w:color="auto" w:fill="FFFFFF"/>
        <w:adjustRightInd w:val="0"/>
        <w:snapToGrid w:val="0"/>
        <w:ind w:firstLine="735" w:firstLineChars="350"/>
        <w:jc w:val="left"/>
        <w:rPr>
          <w:rFonts w:ascii="仿宋_GB2312" w:hAnsi="宋体" w:eastAsia="仿宋_GB2312"/>
          <w:color w:val="000000"/>
          <w:kern w:val="0"/>
          <w:szCs w:val="21"/>
        </w:rPr>
      </w:pPr>
    </w:p>
    <w:tbl>
      <w:tblPr>
        <w:tblStyle w:val="5"/>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134"/>
        <w:gridCol w:w="1134"/>
        <w:gridCol w:w="850"/>
        <w:gridCol w:w="1134"/>
        <w:gridCol w:w="851"/>
        <w:gridCol w:w="1134"/>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01" w:type="dxa"/>
          </w:tcPr>
          <w:p>
            <w:pPr>
              <w:widowControl/>
              <w:shd w:val="clear" w:color="auto" w:fill="FFFFFF"/>
              <w:adjustRightInd w:val="0"/>
              <w:snapToGrid w:val="0"/>
              <w:ind w:firstLine="735" w:firstLineChars="350"/>
              <w:jc w:val="left"/>
              <w:rPr>
                <w:rFonts w:ascii="仿宋_GB2312" w:hAnsi="宋体" w:eastAsia="仿宋_GB2312" w:cstheme="minorBidi"/>
                <w:color w:val="000000"/>
                <w:kern w:val="0"/>
                <w:szCs w:val="21"/>
              </w:rPr>
            </w:pPr>
          </w:p>
          <w:p>
            <w:pPr>
              <w:widowControl/>
              <w:shd w:val="clear" w:color="auto" w:fill="FFFFFF"/>
              <w:adjustRightInd w:val="0"/>
              <w:snapToGrid w:val="0"/>
              <w:ind w:firstLine="210" w:firstLineChars="10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内容</w:t>
            </w:r>
          </w:p>
        </w:tc>
        <w:tc>
          <w:tcPr>
            <w:tcW w:w="1134"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电路的基本概念和定律</w:t>
            </w:r>
          </w:p>
        </w:tc>
        <w:tc>
          <w:tcPr>
            <w:tcW w:w="1134"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电路分析的等效变换法</w:t>
            </w:r>
          </w:p>
        </w:tc>
        <w:tc>
          <w:tcPr>
            <w:tcW w:w="1134"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电路分析的网络方程法</w:t>
            </w:r>
          </w:p>
        </w:tc>
        <w:tc>
          <w:tcPr>
            <w:tcW w:w="850"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正弦交流电路</w:t>
            </w:r>
          </w:p>
        </w:tc>
        <w:tc>
          <w:tcPr>
            <w:tcW w:w="1134"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谐振与互感电路</w:t>
            </w:r>
          </w:p>
        </w:tc>
        <w:tc>
          <w:tcPr>
            <w:tcW w:w="851"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三相电路</w:t>
            </w:r>
          </w:p>
        </w:tc>
        <w:tc>
          <w:tcPr>
            <w:tcW w:w="1134"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非正弦周期电流电路</w:t>
            </w:r>
          </w:p>
        </w:tc>
        <w:tc>
          <w:tcPr>
            <w:tcW w:w="1087" w:type="dxa"/>
          </w:tcPr>
          <w:p>
            <w:pPr>
              <w:widowControl/>
              <w:shd w:val="clear" w:color="auto" w:fill="FFFFFF"/>
              <w:adjustRightInd w:val="0"/>
              <w:snapToGrid w:val="0"/>
              <w:jc w:val="left"/>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动态电路的时域分析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1"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比例(%)</w:t>
            </w:r>
          </w:p>
        </w:tc>
        <w:tc>
          <w:tcPr>
            <w:tcW w:w="1134"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15 </w:t>
            </w:r>
          </w:p>
        </w:tc>
        <w:tc>
          <w:tcPr>
            <w:tcW w:w="1134"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20</w:t>
            </w:r>
          </w:p>
        </w:tc>
        <w:tc>
          <w:tcPr>
            <w:tcW w:w="1134" w:type="dxa"/>
          </w:tcPr>
          <w:p>
            <w:pPr>
              <w:widowControl/>
              <w:shd w:val="clear" w:color="auto" w:fill="FFFFFF"/>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15</w:t>
            </w:r>
          </w:p>
        </w:tc>
        <w:tc>
          <w:tcPr>
            <w:tcW w:w="850"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10</w:t>
            </w:r>
          </w:p>
        </w:tc>
        <w:tc>
          <w:tcPr>
            <w:tcW w:w="1134"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 10 </w:t>
            </w:r>
          </w:p>
        </w:tc>
        <w:tc>
          <w:tcPr>
            <w:tcW w:w="851"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5 </w:t>
            </w:r>
          </w:p>
        </w:tc>
        <w:tc>
          <w:tcPr>
            <w:tcW w:w="1134"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10</w:t>
            </w:r>
          </w:p>
        </w:tc>
        <w:tc>
          <w:tcPr>
            <w:tcW w:w="1087" w:type="dxa"/>
          </w:tcPr>
          <w:p>
            <w:pPr>
              <w:widowControl/>
              <w:spacing w:line="360" w:lineRule="auto"/>
              <w:jc w:val="center"/>
              <w:rPr>
                <w:rFonts w:ascii="仿宋_GB2312" w:hAnsi="宋体" w:eastAsia="仿宋_GB2312" w:cstheme="minorBidi"/>
                <w:color w:val="000000"/>
                <w:kern w:val="0"/>
                <w:szCs w:val="21"/>
              </w:rPr>
            </w:pPr>
            <w:r>
              <w:rPr>
                <w:rFonts w:hint="eastAsia" w:ascii="仿宋_GB2312" w:hAnsi="宋体" w:eastAsia="仿宋_GB2312" w:cstheme="minorBidi"/>
                <w:color w:val="000000"/>
                <w:kern w:val="0"/>
                <w:szCs w:val="21"/>
              </w:rPr>
              <w:t>15</w:t>
            </w:r>
          </w:p>
        </w:tc>
      </w:tr>
    </w:tbl>
    <w:p>
      <w:pPr>
        <w:widowControl/>
        <w:shd w:val="clear" w:color="auto" w:fill="FFFFFF"/>
        <w:spacing w:line="360" w:lineRule="auto"/>
        <w:ind w:firstLine="480" w:firstLineChars="200"/>
        <w:rPr>
          <w:rFonts w:ascii="仿宋_GB2312" w:hAnsi="宋体" w:eastAsia="仿宋_GB2312"/>
          <w:color w:val="000000"/>
          <w:kern w:val="0"/>
          <w:sz w:val="24"/>
          <w:szCs w:val="24"/>
        </w:rPr>
      </w:pP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三、考试内容及考试要求</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(一) 电路的基本概念和定律</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(1)实际电路和电路模型</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电路的基本物理量</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电阻元件及其特征</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电路中的独立电源</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 基尔霍夫定律</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(1)了解实际电路、电路的功能、理想电路元件、电路模型、集总参数电路、电位、电流、电压、电功率与电能、支路、节点、网孔、回路等基本概念。</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理解电流电压参考方向具体含义、电压电流的参考方向之间的关系（关联与非关联性），理想电流源和电压源的性质，基尔霍夫电流电压定理的内涵与实质。</w:t>
      </w:r>
    </w:p>
    <w:p>
      <w:pPr>
        <w:widowControl/>
        <w:shd w:val="clear" w:color="auto" w:fill="FFFFFF"/>
        <w:adjustRightInd w:val="0"/>
        <w:snapToGrid w:val="0"/>
        <w:spacing w:line="560" w:lineRule="exact"/>
        <w:ind w:left="315" w:leftChars="150" w:firstLine="600" w:firstLineChars="2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掌握u、i 参考方向与 p之间的关系；电路元件（包括：电阻元件、理想电压源电流源）的输出特性；掌握基尔霍夫电流电压定理的推广运用。</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学会计算电功率和能量并判断具体元件在电路中的作用；能熟练运用基尔霍夫定律分析电路。</w:t>
      </w:r>
    </w:p>
    <w:p>
      <w:pPr>
        <w:widowControl/>
        <w:shd w:val="clear" w:color="auto" w:fill="FFFFFF"/>
        <w:adjustRightInd w:val="0"/>
        <w:snapToGrid w:val="0"/>
        <w:spacing w:line="560" w:lineRule="exact"/>
        <w:ind w:firstLine="482" w:firstLineChars="200"/>
        <w:jc w:val="left"/>
        <w:rPr>
          <w:rFonts w:ascii="仿宋_GB2312" w:hAnsi="宋体" w:eastAsia="仿宋_GB2312"/>
          <w:color w:val="FF0000"/>
          <w:kern w:val="0"/>
          <w:sz w:val="28"/>
          <w:szCs w:val="28"/>
        </w:rPr>
      </w:pPr>
      <w:r>
        <w:rPr>
          <w:rFonts w:hint="eastAsia" w:ascii="仿宋_GB2312" w:hAnsi="宋体" w:eastAsia="仿宋_GB2312" w:cs="仿宋_GB2312"/>
          <w:b/>
          <w:kern w:val="0"/>
          <w:sz w:val="24"/>
          <w:szCs w:val="24"/>
        </w:rPr>
        <w:t>(二) 电路分析的等效变换法</w:t>
      </w:r>
    </w:p>
    <w:p>
      <w:pPr>
        <w:widowControl/>
        <w:shd w:val="clear" w:color="auto" w:fill="FFFFFF"/>
        <w:adjustRightInd w:val="0"/>
        <w:snapToGrid w:val="0"/>
        <w:spacing w:line="560" w:lineRule="exact"/>
        <w:ind w:firstLine="482" w:firstLineChars="200"/>
        <w:jc w:val="left"/>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1.考核知识点</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(1)等效电路</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(2)电阻的串、并联等效变换</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(3)电阻星形联结与三角形联结的等效变换</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(4)电源的等效变换</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(5)受控源及其等效变换</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(6)叠加定理与替代定理</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(7)戴维南定理与诺顿定理</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315" w:leftChars="15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(1)理解电路等效变换、受控电压源的概念；实际电源模型的等效变换原理、含受控源的单口网络等。</w:t>
      </w:r>
    </w:p>
    <w:p>
      <w:pPr>
        <w:widowControl/>
        <w:shd w:val="clear" w:color="auto" w:fill="FFFFFF"/>
        <w:adjustRightInd w:val="0"/>
        <w:snapToGrid w:val="0"/>
        <w:spacing w:line="560" w:lineRule="exact"/>
        <w:ind w:left="420" w:leftChars="200" w:firstLine="360" w:firstLineChars="1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(2)掌握电阻的串、并联等效变换； Y形和Δ形联结电路的结构及其相互等效；电源（包括受源）的等效变换，叠加（包括齐性定理）、替代以及戴维宁与诺顿定理的内涵与解题技巧。</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(3)能熟练运用等效变换化简电路；学会运用叠加、替代、戴维宁与诺顿四个定理来分析和计算电路。</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（三） 电路分析的网络方程法</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支路（电流）法</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节点分析法</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网孔分析法</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回路分析法</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了解电路的拓扑结构中电路的图、基本回路等术语以及KCL方程KVL方程的独立方程数。</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理解支路（电流）法;回路电流法(网孔电流法是回路电流法的特例。)和结点电压法的概念内涵和基本思路。</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熟练掌握回路电流法(网孔电流法是回路电流法的特例。)和结点电压法的解题方法与步骤。</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学会运用回路电流法和结点电压法分析较复杂电路。</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(四) 正弦交流电路</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正弦量</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正弦量的相量表示</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电容元件和电感元件</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电路基本定律的相量形式</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 阻抗与导纳</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(6) 正弦交流电路的相量图法求解</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(7) 正弦交流电路中的功率</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(8) 正弦交流电路的相量法求解</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420" w:left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(1) 了解周期函数及其频率和周期。</w:t>
      </w:r>
    </w:p>
    <w:p>
      <w:pPr>
        <w:widowControl/>
        <w:shd w:val="clear" w:color="auto" w:fill="FFFFFF"/>
        <w:adjustRightInd w:val="0"/>
        <w:snapToGrid w:val="0"/>
        <w:spacing w:line="560" w:lineRule="exact"/>
        <w:ind w:left="420" w:leftChars="200" w:firstLine="360" w:firstLineChars="1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理解正弦量、正弦相量的基本概念，正弦量的三要素，电容、电感元件的输出特性及其VCR的相量形式，阻抗和导纳的概念等。</w:t>
      </w:r>
    </w:p>
    <w:p>
      <w:pPr>
        <w:widowControl/>
        <w:shd w:val="clear" w:color="auto" w:fill="FFFFFF"/>
        <w:adjustRightInd w:val="0"/>
        <w:snapToGrid w:val="0"/>
        <w:spacing w:line="560" w:lineRule="exact"/>
        <w:ind w:left="420" w:left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(3) 掌握相位差、有效值的求法，正弦量的表示方法，电路基本定律（LCL、KVL）的相量形式，正弦稳态交流电路的相量法（解析法）和相量图法。</w:t>
      </w:r>
    </w:p>
    <w:p>
      <w:pPr>
        <w:widowControl/>
        <w:shd w:val="clear" w:color="auto" w:fill="FFFFFF"/>
        <w:adjustRightInd w:val="0"/>
        <w:snapToGrid w:val="0"/>
        <w:spacing w:line="560" w:lineRule="exact"/>
        <w:ind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(4) 学会利用相量法（解析法）和相量图法分析正弦稳态电路。</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(五) 谐振与互感电路</w:t>
      </w:r>
    </w:p>
    <w:p>
      <w:pPr>
        <w:widowControl/>
        <w:shd w:val="clear" w:color="auto" w:fill="FFFFFF"/>
        <w:adjustRightInd w:val="0"/>
        <w:snapToGrid w:val="0"/>
        <w:spacing w:line="560" w:lineRule="exact"/>
        <w:ind w:firstLine="482" w:firstLineChars="200"/>
        <w:jc w:val="left"/>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串联谐振电路</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并联谐振电路</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互感与互感电压</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含互感的正弦交流电路分析</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 理想变压器</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理解谐振的概念与特点，理想变压器的工作原理。</w:t>
      </w:r>
    </w:p>
    <w:p>
      <w:pPr>
        <w:widowControl/>
        <w:shd w:val="clear" w:color="auto" w:fill="FFFFFF"/>
        <w:adjustRightInd w:val="0"/>
        <w:snapToGrid w:val="0"/>
        <w:spacing w:line="560" w:lineRule="exact"/>
        <w:ind w:left="525" w:leftChars="250" w:firstLine="360" w:firstLineChars="1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(2) 掌握串联、并联谐振电路谐振的条件，互感元件的电压、电流关系，理想变压器的阻抗变换。    </w:t>
      </w:r>
    </w:p>
    <w:p>
      <w:pPr>
        <w:widowControl/>
        <w:shd w:val="clear" w:color="auto" w:fill="FFFFFF"/>
        <w:adjustRightInd w:val="0"/>
        <w:snapToGrid w:val="0"/>
        <w:spacing w:line="560" w:lineRule="exact"/>
        <w:ind w:firstLine="1080" w:firstLineChars="4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w:t>
      </w:r>
      <w:r>
        <w:rPr>
          <w:rFonts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rPr>
        <w:t>学会分析计算含有互感线圈电路。</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（六）三相电路</w:t>
      </w:r>
    </w:p>
    <w:p>
      <w:pPr>
        <w:widowControl/>
        <w:shd w:val="clear" w:color="auto" w:fill="FFFFFF"/>
        <w:adjustRightInd w:val="0"/>
        <w:snapToGrid w:val="0"/>
        <w:spacing w:line="560" w:lineRule="exact"/>
        <w:ind w:firstLine="482" w:firstLineChars="200"/>
        <w:jc w:val="left"/>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三相电源与三相负载</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对称三相电路的计算</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不对称三相电路的特点及分析</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三相电路的功率</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(1)理解三相电路的概念、连接方式；三相电路三种功率（有功功率、无功功率、视在功率）的物理意义及其相互联系；不对称三相电路的概念。</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掌握不同联接方式的对称三相电路线电压、相电压关系，线电流、相电流关系；不对称三相电路特点及基本分析方法。</w:t>
      </w:r>
    </w:p>
    <w:p>
      <w:pPr>
        <w:widowControl/>
        <w:shd w:val="clear" w:color="auto" w:fill="FFFFFF"/>
        <w:adjustRightInd w:val="0"/>
        <w:snapToGrid w:val="0"/>
        <w:spacing w:line="560" w:lineRule="exact"/>
        <w:ind w:firstLine="840" w:firstLineChars="3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学会计算对称三相电路的一般方法。</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(七) 非正弦周期电流电路</w:t>
      </w:r>
    </w:p>
    <w:p>
      <w:pPr>
        <w:widowControl/>
        <w:shd w:val="clear" w:color="auto" w:fill="FFFFFF"/>
        <w:adjustRightInd w:val="0"/>
        <w:snapToGrid w:val="0"/>
        <w:spacing w:line="560" w:lineRule="exact"/>
        <w:ind w:firstLine="482" w:firstLineChars="200"/>
        <w:jc w:val="left"/>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非正弦周期量</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有效值、平均值和平均功率</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非正弦周期电流电路的分析</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315" w:leftChars="15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了解非正弦周期信号，非正弦周期函数的傅里叶级数展开；了解滤波器概念；了解对称三相电路中的零序分量和负序分量的特点。</w:t>
      </w:r>
    </w:p>
    <w:p>
      <w:pPr>
        <w:widowControl/>
        <w:shd w:val="clear" w:color="auto" w:fill="FFFFFF"/>
        <w:adjustRightInd w:val="0"/>
        <w:snapToGrid w:val="0"/>
        <w:spacing w:line="560" w:lineRule="exact"/>
        <w:ind w:left="315" w:leftChars="150" w:firstLine="360" w:firstLineChars="1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（2）掌握各种信号傅氏级数展开公式的应用；有效值、平均值和平均功率的计算；掌握高低通、带通和阻通四种滤波器的工作原理及非正弦周期电流电路分析的基本原则和步骤</w:t>
      </w:r>
      <w:r>
        <w:rPr>
          <w:rFonts w:ascii="仿宋_GB2312" w:hAnsi="宋体" w:eastAsia="仿宋_GB2312"/>
          <w:color w:val="000000"/>
          <w:kern w:val="0"/>
          <w:sz w:val="24"/>
          <w:szCs w:val="24"/>
        </w:rPr>
        <w:t xml:space="preserve"> </w:t>
      </w:r>
    </w:p>
    <w:p>
      <w:pPr>
        <w:widowControl/>
        <w:shd w:val="clear" w:color="auto" w:fill="FFFFFF"/>
        <w:adjustRightInd w:val="0"/>
        <w:snapToGrid w:val="0"/>
        <w:spacing w:line="560" w:lineRule="exact"/>
        <w:ind w:firstLine="720" w:firstLineChars="3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（3）学会含串联和并联谐振的非正弦周期电流电路的基本分析方法。</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(八) 动态电路的时域分析</w:t>
      </w:r>
    </w:p>
    <w:p>
      <w:pPr>
        <w:widowControl/>
        <w:shd w:val="clear" w:color="auto" w:fill="FFFFFF"/>
        <w:adjustRightInd w:val="0"/>
        <w:snapToGrid w:val="0"/>
        <w:spacing w:line="560" w:lineRule="exact"/>
        <w:ind w:firstLine="482" w:firstLineChars="200"/>
        <w:jc w:val="left"/>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1.考核知识点</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 电路的动态过程与动态响应</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 电路初始条件的确定</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求解一阶电路动态响应的三要素法</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 一阶电路响应的分类</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 一阶电路的阶跃响应</w:t>
      </w:r>
    </w:p>
    <w:p>
      <w:pPr>
        <w:widowControl/>
        <w:shd w:val="clear" w:color="auto" w:fill="FFFFFF"/>
        <w:adjustRightInd w:val="0"/>
        <w:snapToGrid w:val="0"/>
        <w:spacing w:line="560" w:lineRule="exact"/>
        <w:ind w:firstLine="482" w:firstLineChars="200"/>
        <w:jc w:val="left"/>
        <w:rPr>
          <w:rFonts w:ascii="仿宋_GB2312" w:hAnsi="宋体" w:eastAsia="仿宋_GB2312" w:cs="仿宋_GB2312"/>
          <w:b/>
          <w:kern w:val="0"/>
          <w:sz w:val="24"/>
          <w:szCs w:val="24"/>
        </w:rPr>
      </w:pPr>
      <w:r>
        <w:rPr>
          <w:rFonts w:hint="eastAsia" w:ascii="仿宋_GB2312" w:hAnsi="宋体" w:eastAsia="仿宋_GB2312" w:cs="仿宋_GB2312"/>
          <w:b/>
          <w:kern w:val="0"/>
          <w:sz w:val="24"/>
          <w:szCs w:val="24"/>
        </w:rPr>
        <w:t>2.考核要求</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(1)了解动态响应的分类和分析动态过程要用的三种分析方法。</w:t>
      </w:r>
    </w:p>
    <w:p>
      <w:pPr>
        <w:widowControl/>
        <w:shd w:val="clear" w:color="auto" w:fill="FFFFFF"/>
        <w:adjustRightInd w:val="0"/>
        <w:snapToGrid w:val="0"/>
        <w:spacing w:line="560" w:lineRule="exact"/>
        <w:ind w:left="420" w:leftChars="200" w:firstLine="480" w:firstLineChars="2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(2)理解一阶零输入、一阶零状态和一阶全响应动态电路的具体含义及其相互关系；理解初始值的概念和换路定则；理解一阶电路正弦响应动态过程特点。 </w:t>
      </w:r>
    </w:p>
    <w:p>
      <w:pPr>
        <w:widowControl/>
        <w:shd w:val="clear" w:color="auto" w:fill="FFFFFF"/>
        <w:adjustRightInd w:val="0"/>
        <w:snapToGrid w:val="0"/>
        <w:spacing w:line="560" w:lineRule="exact"/>
        <w:ind w:firstLine="960" w:firstLineChars="40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 掌握分析一阶动态电路的三要素法，并学会运用。</w:t>
      </w:r>
    </w:p>
    <w:p>
      <w:pPr>
        <w:widowControl/>
        <w:shd w:val="clear" w:color="auto" w:fill="FFFFFF"/>
        <w:adjustRightInd w:val="0"/>
        <w:snapToGrid w:val="0"/>
        <w:spacing w:line="560" w:lineRule="exact"/>
        <w:jc w:val="left"/>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四、其他说明</w:t>
      </w:r>
    </w:p>
    <w:p>
      <w:pPr>
        <w:widowControl/>
        <w:shd w:val="clear" w:color="auto" w:fill="FFFFFF"/>
        <w:adjustRightInd w:val="0"/>
        <w:snapToGrid w:val="0"/>
        <w:spacing w:line="560" w:lineRule="exact"/>
        <w:ind w:firstLine="600" w:firstLineChars="2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学生可自带电路绘图工具，如HB铅笔和直尺。</w:t>
      </w:r>
    </w:p>
    <w:p>
      <w:pPr>
        <w:widowControl/>
        <w:shd w:val="clear" w:color="auto" w:fill="FFFFFF"/>
        <w:adjustRightInd w:val="0"/>
        <w:snapToGrid w:val="0"/>
        <w:spacing w:line="560" w:lineRule="exact"/>
        <w:jc w:val="left"/>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五、参考书目</w:t>
      </w:r>
    </w:p>
    <w:p>
      <w:pPr>
        <w:widowControl/>
        <w:shd w:val="clear" w:color="auto" w:fill="FFFFFF"/>
        <w:adjustRightInd w:val="0"/>
        <w:snapToGrid w:val="0"/>
        <w:spacing w:line="560" w:lineRule="exact"/>
        <w:ind w:left="420" w:leftChars="200" w:firstLine="120" w:firstLineChars="50"/>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教科书：石生编著，《电路基本分析（第5版）》，</w:t>
      </w:r>
      <w:bookmarkStart w:id="0" w:name="_Hlk150191499"/>
      <w:r>
        <w:rPr>
          <w:rFonts w:hint="eastAsia" w:ascii="仿宋_GB2312" w:hAnsi="宋体" w:eastAsia="仿宋_GB2312"/>
          <w:color w:val="000000"/>
          <w:kern w:val="0"/>
          <w:sz w:val="24"/>
          <w:szCs w:val="24"/>
        </w:rPr>
        <w:t>高等教育出版社</w:t>
      </w:r>
      <w:bookmarkEnd w:id="0"/>
      <w:r>
        <w:rPr>
          <w:rFonts w:hint="eastAsia" w:ascii="仿宋_GB2312" w:hAnsi="宋体" w:eastAsia="仿宋_GB2312"/>
          <w:color w:val="000000"/>
          <w:kern w:val="0"/>
          <w:sz w:val="24"/>
          <w:szCs w:val="24"/>
        </w:rPr>
        <w:t>，2019年05月。</w:t>
      </w:r>
    </w:p>
    <w:p>
      <w:pPr>
        <w:widowControl/>
        <w:shd w:val="clear" w:color="auto" w:fill="FFFFFF"/>
        <w:spacing w:line="360" w:lineRule="auto"/>
        <w:ind w:firstLine="480" w:firstLineChars="200"/>
        <w:rPr>
          <w:rFonts w:ascii="仿宋_GB2312" w:hAnsi="宋体" w:eastAsia="仿宋_GB2312"/>
          <w:color w:val="000000"/>
          <w:kern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75F2E"/>
    <w:multiLevelType w:val="multilevel"/>
    <w:tmpl w:val="68275F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hODM2YjQxN2Q2ZDEwYWFkYjc0MTk1NTNhZGNhNWUifQ=="/>
  </w:docVars>
  <w:rsids>
    <w:rsidRoot w:val="0074177C"/>
    <w:rsid w:val="000640A1"/>
    <w:rsid w:val="000E08DB"/>
    <w:rsid w:val="00234FF5"/>
    <w:rsid w:val="003311BA"/>
    <w:rsid w:val="00397BBE"/>
    <w:rsid w:val="003B78A9"/>
    <w:rsid w:val="004679F3"/>
    <w:rsid w:val="004736CD"/>
    <w:rsid w:val="0048357F"/>
    <w:rsid w:val="004F0BAF"/>
    <w:rsid w:val="0050635B"/>
    <w:rsid w:val="005A247D"/>
    <w:rsid w:val="005D08E1"/>
    <w:rsid w:val="006F5516"/>
    <w:rsid w:val="0074177C"/>
    <w:rsid w:val="00746216"/>
    <w:rsid w:val="0078621A"/>
    <w:rsid w:val="007A01DE"/>
    <w:rsid w:val="00810F9B"/>
    <w:rsid w:val="00823466"/>
    <w:rsid w:val="00826F4C"/>
    <w:rsid w:val="00866752"/>
    <w:rsid w:val="00A66AA3"/>
    <w:rsid w:val="00AA2AFE"/>
    <w:rsid w:val="00C61837"/>
    <w:rsid w:val="00D43991"/>
    <w:rsid w:val="00E60293"/>
    <w:rsid w:val="21C96DBB"/>
    <w:rsid w:val="39BA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000FF" w:themeColor="hyperlink"/>
      <w:u w:val="single"/>
    </w:rPr>
  </w:style>
  <w:style w:type="paragraph" w:styleId="8">
    <w:name w:val="List Paragraph"/>
    <w:basedOn w:val="1"/>
    <w:qFormat/>
    <w:uiPriority w:val="99"/>
    <w:pPr>
      <w:ind w:firstLine="420" w:firstLineChars="200"/>
    </w:pPr>
    <w:rPr>
      <w:rFonts w:ascii="Times New Roman" w:hAnsi="Times New Roman" w:eastAsia="宋体" w:cs="Times New Roman"/>
      <w:szCs w:val="21"/>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2339</Characters>
  <Lines>19</Lines>
  <Paragraphs>5</Paragraphs>
  <TotalTime>19</TotalTime>
  <ScaleCrop>false</ScaleCrop>
  <LinksUpToDate>false</LinksUpToDate>
  <CharactersWithSpaces>2744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2022-02-22T07:07:00Z</dcterms:created>
  <dc:creator>PC</dc:creator>
  <cp:lastModifiedBy>sunny</cp:lastModifiedBy>
  <dcterms:modified xsi:type="dcterms:W3CDTF">2024-02-28T09:04:28Z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7FAEF7D815F342E4A68841BD35BEBFED</vt:lpwstr>
  </property>
</Properties>
</file>